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72E60" w14:textId="199E553D" w:rsidR="006F7B41" w:rsidRPr="00967CFB" w:rsidRDefault="006F7B41" w:rsidP="006F7B41">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E12B9F">
        <w:rPr>
          <w:rFonts w:ascii="Arial" w:hAnsi="Arial" w:cs="Arial"/>
          <w:b/>
          <w:bCs/>
          <w:sz w:val="28"/>
        </w:rPr>
        <w:t>R1-</w:t>
      </w:r>
      <w:r w:rsidR="00E12B9F" w:rsidRPr="00E12B9F">
        <w:rPr>
          <w:rFonts w:ascii="Arial" w:hAnsi="Arial" w:cs="Arial"/>
          <w:b/>
          <w:bCs/>
          <w:sz w:val="28"/>
        </w:rPr>
        <w:t>23120</w:t>
      </w:r>
      <w:r w:rsidR="006B6EBA">
        <w:rPr>
          <w:rFonts w:ascii="Arial" w:hAnsi="Arial" w:cs="Arial"/>
          <w:b/>
          <w:bCs/>
          <w:sz w:val="28"/>
        </w:rPr>
        <w:t>20</w:t>
      </w:r>
    </w:p>
    <w:p w14:paraId="3F4AF26A" w14:textId="77777777" w:rsidR="006F7B41" w:rsidRPr="009513AC" w:rsidRDefault="006F7B41" w:rsidP="006F7B41">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510326D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0126D4D5"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6B6EBA" w:rsidRPr="006B6EBA">
        <w:rPr>
          <w:rFonts w:ascii="Arial" w:hAnsi="Arial"/>
          <w:color w:val="000000" w:themeColor="text1"/>
          <w:sz w:val="24"/>
          <w:szCs w:val="24"/>
        </w:rPr>
        <w:t>Discussion on PUSCH selection rule for UCI multiplexing</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16F60ED8" w14:textId="33F1B0F4" w:rsidR="009925C2" w:rsidRPr="009925C2" w:rsidRDefault="00D354CF" w:rsidP="00131CCE">
      <w:pPr>
        <w:jc w:val="both"/>
      </w:pPr>
      <w:r>
        <w:t xml:space="preserve">In this contribution, </w:t>
      </w:r>
      <w:r w:rsidR="00E1246E">
        <w:t xml:space="preserve">we discuss </w:t>
      </w:r>
      <w:r w:rsidR="00131CCE">
        <w:t xml:space="preserve">how to solve the issue </w:t>
      </w:r>
      <w:r w:rsidR="00D1181C">
        <w:t>of PUSCH selection for UCI multiplexing</w:t>
      </w:r>
      <w:r w:rsidR="00267A72">
        <w:t xml:space="preserve"> </w:t>
      </w:r>
      <w:r w:rsidR="00267A72">
        <w:rPr>
          <w:rFonts w:cs="Times"/>
        </w:rPr>
        <w:t>identified in</w:t>
      </w:r>
      <w:r w:rsidR="00D1181C">
        <w:rPr>
          <w:rFonts w:cs="Times"/>
        </w:rPr>
        <w:t xml:space="preserve"> </w:t>
      </w:r>
      <w:r w:rsidR="00764070">
        <w:rPr>
          <w:rFonts w:cs="Times"/>
        </w:rPr>
        <w:fldChar w:fldCharType="begin"/>
      </w:r>
      <w:r w:rsidR="00764070">
        <w:rPr>
          <w:rFonts w:cs="Times"/>
        </w:rPr>
        <w:instrText xml:space="preserve"> REF _Ref47616084 \r \h </w:instrText>
      </w:r>
      <w:r w:rsidR="00764070">
        <w:rPr>
          <w:rFonts w:cs="Times"/>
        </w:rPr>
      </w:r>
      <w:r w:rsidR="00764070">
        <w:rPr>
          <w:rFonts w:cs="Times"/>
        </w:rPr>
        <w:fldChar w:fldCharType="separate"/>
      </w:r>
      <w:r w:rsidR="00764070">
        <w:rPr>
          <w:rFonts w:cs="Times"/>
        </w:rPr>
        <w:t>[1]</w:t>
      </w:r>
      <w:r w:rsidR="00764070">
        <w:rPr>
          <w:rFonts w:cs="Times"/>
        </w:rPr>
        <w:fldChar w:fldCharType="end"/>
      </w:r>
      <w:r w:rsidR="00267A72">
        <w:rPr>
          <w:rFonts w:cs="Times"/>
        </w:rPr>
        <w:t>.</w:t>
      </w:r>
    </w:p>
    <w:p w14:paraId="2D863257" w14:textId="21E88800" w:rsidR="009925C2" w:rsidRDefault="00764070" w:rsidP="009925C2">
      <w:pPr>
        <w:pStyle w:val="Heading1"/>
        <w:rPr>
          <w:lang w:eastAsia="zh-CN"/>
        </w:rPr>
      </w:pPr>
      <w:bookmarkStart w:id="4" w:name="_Ref525738522"/>
      <w:bookmarkStart w:id="5" w:name="_Ref471731770"/>
      <w:bookmarkStart w:id="6" w:name="_Ref462669569"/>
      <w:r>
        <w:t>PUSCH selection for UCI multiplexing</w:t>
      </w:r>
    </w:p>
    <w:p w14:paraId="07C45E94" w14:textId="51468711" w:rsidR="00184AE6" w:rsidRDefault="00277C53" w:rsidP="009925C2">
      <w:pPr>
        <w:rPr>
          <w:rFonts w:cs="Times"/>
        </w:rPr>
      </w:pPr>
      <w:bookmarkStart w:id="7" w:name="_Ref102041626"/>
      <w:r>
        <w:rPr>
          <w:lang w:val="en-GB"/>
        </w:rPr>
        <w:t>The issue identified in</w:t>
      </w:r>
      <w:r w:rsidR="00184AE6">
        <w:t xml:space="preserve"> </w:t>
      </w:r>
      <w:r>
        <w:rPr>
          <w:rFonts w:cs="Times"/>
        </w:rPr>
        <w:fldChar w:fldCharType="begin"/>
      </w:r>
      <w:r>
        <w:rPr>
          <w:rFonts w:cs="Times"/>
        </w:rPr>
        <w:instrText xml:space="preserve"> REF _Ref47616084 \r \h </w:instrText>
      </w:r>
      <w:r>
        <w:rPr>
          <w:rFonts w:cs="Times"/>
        </w:rPr>
      </w:r>
      <w:r>
        <w:rPr>
          <w:rFonts w:cs="Times"/>
        </w:rPr>
        <w:fldChar w:fldCharType="separate"/>
      </w:r>
      <w:r>
        <w:rPr>
          <w:rFonts w:cs="Times"/>
        </w:rPr>
        <w:t>[1]</w:t>
      </w:r>
      <w:r>
        <w:rPr>
          <w:rFonts w:cs="Times"/>
        </w:rPr>
        <w:fldChar w:fldCharType="end"/>
      </w:r>
      <w:r>
        <w:rPr>
          <w:rFonts w:cs="Times"/>
        </w:rPr>
        <w:t xml:space="preserve"> has be discussed over 2 meetings without conclusion. In our understanding, the situation is as following. </w:t>
      </w:r>
    </w:p>
    <w:p w14:paraId="5624B47C" w14:textId="624B3BEC" w:rsidR="00277C53" w:rsidRPr="00277C53" w:rsidRDefault="00277C53" w:rsidP="00277C53">
      <w:pPr>
        <w:pStyle w:val="ListParagraph"/>
        <w:numPr>
          <w:ilvl w:val="0"/>
          <w:numId w:val="16"/>
        </w:numPr>
        <w:rPr>
          <w:rFonts w:ascii="Times New Roman" w:hAnsi="Times New Roman"/>
          <w:sz w:val="20"/>
          <w:szCs w:val="20"/>
        </w:rPr>
      </w:pPr>
      <w:r w:rsidRPr="00277C53">
        <w:rPr>
          <w:rFonts w:ascii="Times New Roman" w:hAnsi="Times New Roman"/>
          <w:sz w:val="20"/>
          <w:szCs w:val="20"/>
        </w:rPr>
        <w:t xml:space="preserve">There was a RAN1 conclusion that conflicts with current specification. </w:t>
      </w:r>
    </w:p>
    <w:p w14:paraId="61515CFC" w14:textId="5281D469" w:rsidR="00277C53" w:rsidRPr="00277C53" w:rsidRDefault="00277C53" w:rsidP="00277C53">
      <w:pPr>
        <w:pStyle w:val="ListParagraph"/>
        <w:numPr>
          <w:ilvl w:val="0"/>
          <w:numId w:val="16"/>
        </w:numPr>
        <w:rPr>
          <w:rFonts w:ascii="Times New Roman" w:hAnsi="Times New Roman"/>
          <w:sz w:val="20"/>
          <w:szCs w:val="20"/>
        </w:rPr>
      </w:pPr>
      <w:r w:rsidRPr="00277C53">
        <w:rPr>
          <w:rFonts w:ascii="Times New Roman" w:hAnsi="Times New Roman"/>
          <w:sz w:val="20"/>
          <w:szCs w:val="20"/>
        </w:rPr>
        <w:t xml:space="preserve">UE behavior is clear with or without the conclusion. System performance is similar with or without the conclusion. </w:t>
      </w:r>
    </w:p>
    <w:p w14:paraId="759620FE" w14:textId="557AF85F" w:rsidR="00277C53" w:rsidRDefault="00277C53" w:rsidP="00277C53">
      <w:pPr>
        <w:pStyle w:val="ListParagraph"/>
        <w:numPr>
          <w:ilvl w:val="0"/>
          <w:numId w:val="16"/>
        </w:numPr>
        <w:rPr>
          <w:rFonts w:ascii="Times New Roman" w:hAnsi="Times New Roman"/>
          <w:sz w:val="20"/>
          <w:szCs w:val="20"/>
        </w:rPr>
      </w:pPr>
      <w:r w:rsidRPr="00277C53">
        <w:rPr>
          <w:rFonts w:ascii="Times New Roman" w:hAnsi="Times New Roman"/>
          <w:sz w:val="20"/>
          <w:szCs w:val="20"/>
        </w:rPr>
        <w:t xml:space="preserve">Most of UE and infra vendors implemented based current specification. There is a UE/infra vendor implemented based on the conclusion. </w:t>
      </w:r>
    </w:p>
    <w:p w14:paraId="29319E0E" w14:textId="324D3C3D" w:rsidR="00277C53" w:rsidRPr="00277C53" w:rsidRDefault="00277C53" w:rsidP="00277C53">
      <w:pPr>
        <w:pStyle w:val="ListParagraph"/>
        <w:numPr>
          <w:ilvl w:val="0"/>
          <w:numId w:val="16"/>
        </w:numPr>
        <w:rPr>
          <w:rFonts w:ascii="Times New Roman" w:hAnsi="Times New Roman"/>
          <w:sz w:val="20"/>
          <w:szCs w:val="20"/>
        </w:rPr>
      </w:pPr>
      <w:r>
        <w:rPr>
          <w:rFonts w:ascii="Times New Roman" w:hAnsi="Times New Roman"/>
          <w:sz w:val="20"/>
          <w:szCs w:val="20"/>
        </w:rPr>
        <w:t xml:space="preserve">There are legacy Rel-15/16/17 UEs that already deployed in the field that are already with two different implementations, i.e., following the conclusion or following specification. </w:t>
      </w:r>
    </w:p>
    <w:p w14:paraId="2B3816E2" w14:textId="77777777" w:rsidR="00277C53" w:rsidRDefault="00277C53" w:rsidP="009925C2">
      <w:pPr>
        <w:rPr>
          <w:lang w:val="en-GB"/>
        </w:rPr>
      </w:pPr>
    </w:p>
    <w:p w14:paraId="661722C3" w14:textId="24DB06FE" w:rsidR="005672C6" w:rsidRPr="005672C6" w:rsidRDefault="005672C6" w:rsidP="009925C2">
      <w:pPr>
        <w:rPr>
          <w:lang w:val="en-GB"/>
        </w:rPr>
      </w:pPr>
      <w:r>
        <w:rPr>
          <w:lang w:val="en-GB"/>
        </w:rPr>
        <w:t xml:space="preserve">We acknowledge that this is a rare case encountered in RAN1. </w:t>
      </w:r>
      <w:r w:rsidRPr="005672C6">
        <w:rPr>
          <w:lang w:val="en-GB"/>
        </w:rPr>
        <w:t xml:space="preserve">Normally, RAN1 conclusions in Chair’s notes clarify the ambiguity of specification but do not conflict with specification. Therefore, when someone read specification, those conclusions should be read together with specifications. However, this case is different. In this case, there is actually no ambiguity in current specification and that RAN1 conclusion actually conflicts with specification. In this case, </w:t>
      </w:r>
      <w:r>
        <w:rPr>
          <w:lang w:val="en-GB"/>
        </w:rPr>
        <w:t>what matters is the specification,</w:t>
      </w:r>
      <w:r w:rsidRPr="005672C6">
        <w:rPr>
          <w:lang w:val="en-GB"/>
        </w:rPr>
        <w:t xml:space="preserve"> and the conclusion should be ignored.</w:t>
      </w:r>
      <w:r>
        <w:rPr>
          <w:rFonts w:ascii="Calibri" w:hAnsi="Calibri"/>
          <w:sz w:val="22"/>
          <w:szCs w:val="22"/>
        </w:rPr>
        <w:t xml:space="preserve"> </w:t>
      </w:r>
      <w:r w:rsidR="000E1CC7">
        <w:rPr>
          <w:rStyle w:val="ui-provider"/>
        </w:rPr>
        <w:t>I</w:t>
      </w:r>
      <w:r w:rsidR="000E1CC7">
        <w:rPr>
          <w:rStyle w:val="ui-provider"/>
        </w:rPr>
        <w:t>n the future the same situation should be avoided by not adopting any conclusion that changes the intended gNB/UE operation without introducing a corresponding CR</w:t>
      </w:r>
      <w:r w:rsidR="000E1CC7">
        <w:rPr>
          <w:rStyle w:val="ui-provider"/>
        </w:rPr>
        <w:t>.</w:t>
      </w:r>
      <w:r>
        <w:rPr>
          <w:rFonts w:ascii="Calibri" w:hAnsi="Calibri"/>
          <w:sz w:val="22"/>
          <w:szCs w:val="22"/>
        </w:rPr>
        <w:t xml:space="preserve"> </w:t>
      </w:r>
      <w:r>
        <w:rPr>
          <w:lang w:val="en-GB"/>
        </w:rPr>
        <w:t xml:space="preserve"> </w:t>
      </w:r>
    </w:p>
    <w:p w14:paraId="5C46A207" w14:textId="77777777" w:rsidR="005672C6" w:rsidRDefault="008D5980" w:rsidP="00B652A5">
      <w:pPr>
        <w:rPr>
          <w:rFonts w:eastAsia="Microsoft YaHei"/>
          <w:b/>
          <w:bCs/>
          <w:color w:val="000000"/>
        </w:rPr>
      </w:pPr>
      <w:r w:rsidRPr="00191B46">
        <w:rPr>
          <w:rFonts w:eastAsia="Microsoft YaHei"/>
          <w:b/>
          <w:bCs/>
          <w:color w:val="000000"/>
          <w:u w:val="single"/>
        </w:rPr>
        <w:t>Propos</w:t>
      </w:r>
      <w:r w:rsidR="005672C6">
        <w:rPr>
          <w:rFonts w:eastAsia="Microsoft YaHei"/>
          <w:b/>
          <w:bCs/>
          <w:color w:val="000000"/>
          <w:u w:val="single"/>
        </w:rPr>
        <w:t>ed conclusion</w:t>
      </w:r>
      <w:r w:rsidRPr="00191B46">
        <w:rPr>
          <w:rFonts w:eastAsia="Microsoft YaHei"/>
          <w:b/>
          <w:bCs/>
          <w:color w:val="000000"/>
        </w:rPr>
        <w:t xml:space="preserve">: </w:t>
      </w:r>
      <w:r w:rsidR="005672C6">
        <w:rPr>
          <w:rFonts w:eastAsia="Microsoft YaHei"/>
          <w:b/>
          <w:bCs/>
          <w:color w:val="000000"/>
        </w:rPr>
        <w:t xml:space="preserve">For the issue of </w:t>
      </w:r>
      <w:r w:rsidR="005672C6" w:rsidRPr="005672C6">
        <w:rPr>
          <w:rFonts w:eastAsia="Microsoft YaHei"/>
          <w:b/>
          <w:bCs/>
          <w:color w:val="000000"/>
        </w:rPr>
        <w:t xml:space="preserve">PUSCH selection rule for UCI multiplexing identified in </w:t>
      </w:r>
      <w:hyperlink r:id="rId12" w:history="1">
        <w:r w:rsidR="005672C6" w:rsidRPr="005672C6">
          <w:rPr>
            <w:rFonts w:eastAsia="Microsoft YaHei"/>
            <w:b/>
            <w:bCs/>
            <w:color w:val="000000"/>
          </w:rPr>
          <w:t>R1-2309048</w:t>
        </w:r>
      </w:hyperlink>
      <w:r w:rsidR="005672C6" w:rsidRPr="005672C6">
        <w:rPr>
          <w:rFonts w:eastAsia="Microsoft YaHei"/>
          <w:b/>
          <w:bCs/>
          <w:color w:val="000000"/>
        </w:rPr>
        <w:t xml:space="preserve">, </w:t>
      </w:r>
      <w:r w:rsidR="005672C6">
        <w:rPr>
          <w:rFonts w:eastAsia="Microsoft YaHei"/>
          <w:b/>
          <w:bCs/>
          <w:color w:val="000000"/>
        </w:rPr>
        <w:t>keep the current specification and</w:t>
      </w:r>
      <w:r w:rsidR="005672C6" w:rsidRPr="005672C6">
        <w:rPr>
          <w:rFonts w:eastAsia="Microsoft YaHei"/>
          <w:b/>
          <w:bCs/>
          <w:color w:val="000000"/>
        </w:rPr>
        <w:t xml:space="preserve"> ignore </w:t>
      </w:r>
      <w:r w:rsidR="005672C6">
        <w:rPr>
          <w:rFonts w:eastAsia="Microsoft YaHei"/>
          <w:b/>
          <w:bCs/>
          <w:color w:val="000000"/>
        </w:rPr>
        <w:t>the c</w:t>
      </w:r>
      <w:r w:rsidR="005672C6" w:rsidRPr="005672C6">
        <w:rPr>
          <w:rFonts w:eastAsia="Microsoft YaHei"/>
          <w:b/>
          <w:bCs/>
          <w:color w:val="000000"/>
        </w:rPr>
        <w:t>onclusion made in RAN1#97</w:t>
      </w:r>
      <w:r w:rsidR="00B652A5" w:rsidRPr="005672C6">
        <w:rPr>
          <w:rFonts w:eastAsia="Microsoft YaHei"/>
          <w:b/>
          <w:bCs/>
          <w:color w:val="000000"/>
        </w:rPr>
        <w:t>.</w:t>
      </w:r>
    </w:p>
    <w:p w14:paraId="3229A0C9" w14:textId="0D5EC761" w:rsidR="00B652A5" w:rsidRPr="00895CA7" w:rsidRDefault="005672C6" w:rsidP="005672C6">
      <w:pPr>
        <w:pStyle w:val="ListParagraph"/>
        <w:numPr>
          <w:ilvl w:val="0"/>
          <w:numId w:val="17"/>
        </w:numPr>
        <w:rPr>
          <w:rFonts w:ascii="Times New Roman" w:eastAsia="Times New Roman" w:hAnsi="Times New Roman"/>
          <w:b/>
          <w:bCs/>
          <w:sz w:val="20"/>
          <w:szCs w:val="20"/>
        </w:rPr>
      </w:pPr>
      <w:r w:rsidRPr="00895CA7">
        <w:rPr>
          <w:rFonts w:ascii="Times New Roman" w:eastAsia="Microsoft YaHei" w:hAnsi="Times New Roman"/>
          <w:b/>
          <w:bCs/>
          <w:color w:val="000000"/>
          <w:sz w:val="20"/>
          <w:szCs w:val="20"/>
        </w:rPr>
        <w:t xml:space="preserve">Note: the </w:t>
      </w:r>
      <w:r w:rsidRPr="00895CA7">
        <w:rPr>
          <w:rFonts w:ascii="Times New Roman" w:eastAsia="Times New Roman" w:hAnsi="Times New Roman"/>
          <w:b/>
          <w:bCs/>
          <w:sz w:val="20"/>
          <w:szCs w:val="20"/>
        </w:rPr>
        <w:t xml:space="preserve">rationale to make the above decision regarding the conclusion is because </w:t>
      </w:r>
      <w:r w:rsidR="00895CA7" w:rsidRPr="00895CA7">
        <w:rPr>
          <w:rFonts w:ascii="Times New Roman" w:eastAsia="Times New Roman" w:hAnsi="Times New Roman"/>
          <w:b/>
          <w:bCs/>
          <w:sz w:val="20"/>
          <w:szCs w:val="20"/>
        </w:rPr>
        <w:t xml:space="preserve">UE behavior in current specification is clear without the conclusion and the conclusion defines a different UE behavior </w:t>
      </w:r>
      <w:r w:rsidR="008740CA">
        <w:rPr>
          <w:rFonts w:ascii="Times New Roman" w:eastAsia="Times New Roman" w:hAnsi="Times New Roman"/>
          <w:b/>
          <w:bCs/>
          <w:sz w:val="20"/>
          <w:szCs w:val="20"/>
        </w:rPr>
        <w:t xml:space="preserve">which </w:t>
      </w:r>
      <w:r w:rsidR="00895CA7" w:rsidRPr="00895CA7">
        <w:rPr>
          <w:rFonts w:ascii="Times New Roman" w:eastAsia="Times New Roman" w:hAnsi="Times New Roman"/>
          <w:b/>
          <w:bCs/>
          <w:sz w:val="20"/>
          <w:szCs w:val="20"/>
        </w:rPr>
        <w:t xml:space="preserve">conflicts with </w:t>
      </w:r>
      <w:r w:rsidR="008740CA">
        <w:rPr>
          <w:rFonts w:ascii="Times New Roman" w:eastAsia="Times New Roman" w:hAnsi="Times New Roman"/>
          <w:b/>
          <w:bCs/>
          <w:sz w:val="20"/>
          <w:szCs w:val="20"/>
        </w:rPr>
        <w:t xml:space="preserve">the </w:t>
      </w:r>
      <w:r w:rsidR="00895CA7" w:rsidRPr="00895CA7">
        <w:rPr>
          <w:rFonts w:ascii="Times New Roman" w:eastAsia="Times New Roman" w:hAnsi="Times New Roman"/>
          <w:b/>
          <w:bCs/>
          <w:sz w:val="20"/>
          <w:szCs w:val="20"/>
        </w:rPr>
        <w:t xml:space="preserve">specification. </w:t>
      </w:r>
      <w:r w:rsidR="00B4699D" w:rsidRPr="00B4699D">
        <w:rPr>
          <w:rFonts w:ascii="Times New Roman" w:eastAsia="Times New Roman" w:hAnsi="Times New Roman"/>
          <w:b/>
          <w:bCs/>
          <w:sz w:val="20"/>
          <w:szCs w:val="20"/>
        </w:rPr>
        <w:t>I</w:t>
      </w:r>
      <w:r w:rsidR="00B4699D" w:rsidRPr="00B4699D">
        <w:rPr>
          <w:rFonts w:ascii="Times New Roman" w:eastAsia="Times New Roman" w:hAnsi="Times New Roman"/>
          <w:b/>
          <w:bCs/>
          <w:sz w:val="20"/>
          <w:szCs w:val="20"/>
        </w:rPr>
        <w:t>n the future the same situation should be avoided by not adopting any conclusion that changes the intended gNB/UE operation without introducing a corresponding CR</w:t>
      </w:r>
      <w:r w:rsidR="00B4699D">
        <w:rPr>
          <w:rFonts w:ascii="Times New Roman" w:eastAsia="Times New Roman" w:hAnsi="Times New Roman"/>
          <w:b/>
          <w:bCs/>
          <w:sz w:val="20"/>
          <w:szCs w:val="20"/>
        </w:rPr>
        <w:t>.</w:t>
      </w:r>
      <w:r w:rsidRPr="00895CA7">
        <w:rPr>
          <w:rFonts w:ascii="Times New Roman" w:eastAsia="Times New Roman" w:hAnsi="Times New Roman"/>
          <w:b/>
          <w:bCs/>
          <w:sz w:val="20"/>
          <w:szCs w:val="20"/>
        </w:rPr>
        <w:t xml:space="preserve"> </w:t>
      </w:r>
    </w:p>
    <w:p w14:paraId="3005CBA9" w14:textId="604F2093" w:rsidR="00043547" w:rsidRPr="00043547" w:rsidRDefault="006341FE" w:rsidP="00460207">
      <w:pPr>
        <w:pStyle w:val="Heading1"/>
        <w:jc w:val="both"/>
        <w:rPr>
          <w:lang w:eastAsia="zh-CN"/>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4"/>
      <w:bookmarkEnd w:id="5"/>
      <w:bookmarkEnd w:id="6"/>
      <w:bookmarkEnd w:id="7"/>
      <w:r w:rsidRPr="00785E35">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4AEE8CF4" w14:textId="1EE2575D" w:rsidR="00B972E4" w:rsidRDefault="008A6111" w:rsidP="00B972E4">
      <w:pPr>
        <w:rPr>
          <w:b/>
          <w:bCs/>
        </w:rPr>
      </w:pPr>
      <w:r w:rsidRPr="008A6111">
        <w:rPr>
          <w:rFonts w:cs="Times"/>
        </w:rPr>
        <w:t xml:space="preserve">The </w:t>
      </w:r>
      <w:r>
        <w:rPr>
          <w:rFonts w:cs="Times"/>
        </w:rPr>
        <w:t>following proposal</w:t>
      </w:r>
      <w:r w:rsidR="00B972E4">
        <w:rPr>
          <w:rFonts w:cs="Times"/>
        </w:rPr>
        <w:t xml:space="preserve"> is</w:t>
      </w:r>
      <w:r>
        <w:rPr>
          <w:rFonts w:cs="Times"/>
        </w:rPr>
        <w:t xml:space="preserve"> proposed </w:t>
      </w:r>
      <w:r w:rsidR="00B972E4">
        <w:rPr>
          <w:rFonts w:cs="Times"/>
        </w:rPr>
        <w:t xml:space="preserve">to solve the issue identified in </w:t>
      </w:r>
      <w:r w:rsidR="00B972E4">
        <w:rPr>
          <w:rFonts w:cs="Times"/>
        </w:rPr>
        <w:fldChar w:fldCharType="begin"/>
      </w:r>
      <w:r w:rsidR="00B972E4">
        <w:rPr>
          <w:rFonts w:cs="Times"/>
        </w:rPr>
        <w:instrText xml:space="preserve"> REF _Ref47616084 \r \h </w:instrText>
      </w:r>
      <w:r w:rsidR="00B972E4">
        <w:rPr>
          <w:rFonts w:cs="Times"/>
        </w:rPr>
      </w:r>
      <w:r w:rsidR="00B972E4">
        <w:rPr>
          <w:rFonts w:cs="Times"/>
        </w:rPr>
        <w:fldChar w:fldCharType="separate"/>
      </w:r>
      <w:r w:rsidR="00B972E4">
        <w:rPr>
          <w:rFonts w:cs="Times"/>
        </w:rPr>
        <w:t>[1]</w:t>
      </w:r>
      <w:r w:rsidR="00B972E4">
        <w:rPr>
          <w:rFonts w:cs="Times"/>
        </w:rPr>
        <w:fldChar w:fldCharType="end"/>
      </w:r>
      <w:r w:rsidR="00B972E4">
        <w:rPr>
          <w:rFonts w:cs="Times"/>
        </w:rPr>
        <w:t xml:space="preserve">. </w:t>
      </w:r>
    </w:p>
    <w:p w14:paraId="206DBC20" w14:textId="77777777" w:rsidR="00895CA7" w:rsidRDefault="00895CA7" w:rsidP="00895CA7">
      <w:pPr>
        <w:rPr>
          <w:rFonts w:eastAsia="Microsoft YaHei"/>
          <w:b/>
          <w:bCs/>
          <w:color w:val="000000"/>
        </w:rPr>
      </w:pPr>
      <w:r w:rsidRPr="00191B46">
        <w:rPr>
          <w:rFonts w:eastAsia="Microsoft YaHei"/>
          <w:b/>
          <w:bCs/>
          <w:color w:val="000000"/>
          <w:u w:val="single"/>
        </w:rPr>
        <w:t>Propos</w:t>
      </w:r>
      <w:r>
        <w:rPr>
          <w:rFonts w:eastAsia="Microsoft YaHei"/>
          <w:b/>
          <w:bCs/>
          <w:color w:val="000000"/>
          <w:u w:val="single"/>
        </w:rPr>
        <w:t>ed conclusion</w:t>
      </w:r>
      <w:r w:rsidRPr="00191B46">
        <w:rPr>
          <w:rFonts w:eastAsia="Microsoft YaHei"/>
          <w:b/>
          <w:bCs/>
          <w:color w:val="000000"/>
        </w:rPr>
        <w:t xml:space="preserve">: </w:t>
      </w:r>
      <w:r>
        <w:rPr>
          <w:rFonts w:eastAsia="Microsoft YaHei"/>
          <w:b/>
          <w:bCs/>
          <w:color w:val="000000"/>
        </w:rPr>
        <w:t xml:space="preserve">For the issue of </w:t>
      </w:r>
      <w:r w:rsidRPr="005672C6">
        <w:rPr>
          <w:rFonts w:eastAsia="Microsoft YaHei"/>
          <w:b/>
          <w:bCs/>
          <w:color w:val="000000"/>
        </w:rPr>
        <w:t xml:space="preserve">PUSCH selection rule for UCI multiplexing identified in </w:t>
      </w:r>
      <w:hyperlink r:id="rId13" w:history="1">
        <w:r w:rsidRPr="005672C6">
          <w:rPr>
            <w:rFonts w:eastAsia="Microsoft YaHei"/>
            <w:b/>
            <w:bCs/>
            <w:color w:val="000000"/>
          </w:rPr>
          <w:t>R1-2309048</w:t>
        </w:r>
      </w:hyperlink>
      <w:r w:rsidRPr="005672C6">
        <w:rPr>
          <w:rFonts w:eastAsia="Microsoft YaHei"/>
          <w:b/>
          <w:bCs/>
          <w:color w:val="000000"/>
        </w:rPr>
        <w:t xml:space="preserve">, </w:t>
      </w:r>
      <w:r>
        <w:rPr>
          <w:rFonts w:eastAsia="Microsoft YaHei"/>
          <w:b/>
          <w:bCs/>
          <w:color w:val="000000"/>
        </w:rPr>
        <w:t>keep the current specification and</w:t>
      </w:r>
      <w:r w:rsidRPr="005672C6">
        <w:rPr>
          <w:rFonts w:eastAsia="Microsoft YaHei"/>
          <w:b/>
          <w:bCs/>
          <w:color w:val="000000"/>
        </w:rPr>
        <w:t xml:space="preserve"> ignore </w:t>
      </w:r>
      <w:r>
        <w:rPr>
          <w:rFonts w:eastAsia="Microsoft YaHei"/>
          <w:b/>
          <w:bCs/>
          <w:color w:val="000000"/>
        </w:rPr>
        <w:t>the c</w:t>
      </w:r>
      <w:r w:rsidRPr="005672C6">
        <w:rPr>
          <w:rFonts w:eastAsia="Microsoft YaHei"/>
          <w:b/>
          <w:bCs/>
          <w:color w:val="000000"/>
        </w:rPr>
        <w:t>onclusion made in RAN1#97.</w:t>
      </w:r>
    </w:p>
    <w:p w14:paraId="3A7B17A5" w14:textId="77777777" w:rsidR="004E1678" w:rsidRPr="00895CA7" w:rsidRDefault="004E1678" w:rsidP="004E1678">
      <w:pPr>
        <w:pStyle w:val="ListParagraph"/>
        <w:numPr>
          <w:ilvl w:val="0"/>
          <w:numId w:val="17"/>
        </w:numPr>
        <w:rPr>
          <w:rFonts w:ascii="Times New Roman" w:eastAsia="Times New Roman" w:hAnsi="Times New Roman"/>
          <w:b/>
          <w:bCs/>
          <w:sz w:val="20"/>
          <w:szCs w:val="20"/>
        </w:rPr>
      </w:pPr>
      <w:r w:rsidRPr="00895CA7">
        <w:rPr>
          <w:rFonts w:ascii="Times New Roman" w:eastAsia="Microsoft YaHei" w:hAnsi="Times New Roman"/>
          <w:b/>
          <w:bCs/>
          <w:color w:val="000000"/>
          <w:sz w:val="20"/>
          <w:szCs w:val="20"/>
        </w:rPr>
        <w:t xml:space="preserve">Note: the </w:t>
      </w:r>
      <w:r w:rsidRPr="00895CA7">
        <w:rPr>
          <w:rFonts w:ascii="Times New Roman" w:eastAsia="Times New Roman" w:hAnsi="Times New Roman"/>
          <w:b/>
          <w:bCs/>
          <w:sz w:val="20"/>
          <w:szCs w:val="20"/>
        </w:rPr>
        <w:t xml:space="preserve">rationale to make the above decision regarding the conclusion is because UE behavior in current specification is clear without the conclusion and the conclusion defines a different UE behavior </w:t>
      </w:r>
      <w:r>
        <w:rPr>
          <w:rFonts w:ascii="Times New Roman" w:eastAsia="Times New Roman" w:hAnsi="Times New Roman"/>
          <w:b/>
          <w:bCs/>
          <w:sz w:val="20"/>
          <w:szCs w:val="20"/>
        </w:rPr>
        <w:t xml:space="preserve">which </w:t>
      </w:r>
      <w:r w:rsidRPr="00895CA7">
        <w:rPr>
          <w:rFonts w:ascii="Times New Roman" w:eastAsia="Times New Roman" w:hAnsi="Times New Roman"/>
          <w:b/>
          <w:bCs/>
          <w:sz w:val="20"/>
          <w:szCs w:val="20"/>
        </w:rPr>
        <w:t xml:space="preserve">conflicts with </w:t>
      </w:r>
      <w:r>
        <w:rPr>
          <w:rFonts w:ascii="Times New Roman" w:eastAsia="Times New Roman" w:hAnsi="Times New Roman"/>
          <w:b/>
          <w:bCs/>
          <w:sz w:val="20"/>
          <w:szCs w:val="20"/>
        </w:rPr>
        <w:t xml:space="preserve">the </w:t>
      </w:r>
      <w:r w:rsidRPr="00895CA7">
        <w:rPr>
          <w:rFonts w:ascii="Times New Roman" w:eastAsia="Times New Roman" w:hAnsi="Times New Roman"/>
          <w:b/>
          <w:bCs/>
          <w:sz w:val="20"/>
          <w:szCs w:val="20"/>
        </w:rPr>
        <w:t xml:space="preserve">specification. </w:t>
      </w:r>
      <w:r w:rsidRPr="00B4699D">
        <w:rPr>
          <w:rFonts w:ascii="Times New Roman" w:eastAsia="Times New Roman" w:hAnsi="Times New Roman"/>
          <w:b/>
          <w:bCs/>
          <w:sz w:val="20"/>
          <w:szCs w:val="20"/>
        </w:rPr>
        <w:t>In the future the same situation should be avoided by not adopting any conclusion that changes the intended gNB/UE operation without introducing a corresponding CR</w:t>
      </w:r>
      <w:r>
        <w:rPr>
          <w:rFonts w:ascii="Times New Roman" w:eastAsia="Times New Roman" w:hAnsi="Times New Roman"/>
          <w:b/>
          <w:bCs/>
          <w:sz w:val="20"/>
          <w:szCs w:val="20"/>
        </w:rPr>
        <w:t>.</w:t>
      </w:r>
      <w:r w:rsidRPr="00895CA7">
        <w:rPr>
          <w:rFonts w:ascii="Times New Roman" w:eastAsia="Times New Roman" w:hAnsi="Times New Roman"/>
          <w:b/>
          <w:bCs/>
          <w:sz w:val="20"/>
          <w:szCs w:val="20"/>
        </w:rPr>
        <w:t xml:space="preserve"> </w:t>
      </w:r>
    </w:p>
    <w:p w14:paraId="3F85209A" w14:textId="77777777" w:rsidR="00BE665F" w:rsidRPr="00674B75" w:rsidRDefault="00BE665F" w:rsidP="00BE665F">
      <w:pPr>
        <w:pStyle w:val="Heading1"/>
        <w:jc w:val="both"/>
        <w:rPr>
          <w:lang w:eastAsia="zh-CN"/>
        </w:rPr>
      </w:pPr>
      <w:r w:rsidRPr="00674B75">
        <w:rPr>
          <w:lang w:eastAsia="zh-CN"/>
        </w:rPr>
        <w:lastRenderedPageBreak/>
        <w:t>References</w:t>
      </w:r>
      <w:bookmarkStart w:id="21" w:name="_Ref457730460"/>
      <w:bookmarkStart w:id="22" w:name="_Ref450735844"/>
      <w:bookmarkStart w:id="23" w:name="_Ref450342757"/>
    </w:p>
    <w:p w14:paraId="71408AC9" w14:textId="4EEB0435" w:rsidR="00BE665F" w:rsidRDefault="000A011F" w:rsidP="00BE665F">
      <w:pPr>
        <w:pStyle w:val="References"/>
        <w:numPr>
          <w:ilvl w:val="0"/>
          <w:numId w:val="11"/>
        </w:numPr>
        <w:autoSpaceDE/>
        <w:autoSpaceDN/>
        <w:snapToGrid/>
        <w:spacing w:after="80" w:line="256" w:lineRule="auto"/>
        <w:rPr>
          <w:szCs w:val="20"/>
          <w:lang w:val="en-GB"/>
        </w:rPr>
      </w:pPr>
      <w:bookmarkStart w:id="24" w:name="_Ref47616084"/>
      <w:bookmarkStart w:id="25" w:name="_Ref32439522"/>
      <w:bookmarkEnd w:id="21"/>
      <w:bookmarkEnd w:id="22"/>
      <w:bookmarkEnd w:id="23"/>
      <w:r w:rsidRPr="000A011F">
        <w:rPr>
          <w:szCs w:val="20"/>
          <w:lang w:val="en-GB"/>
        </w:rPr>
        <w:t>3GPP TSG RAN WG1 114bis</w:t>
      </w:r>
      <w:r w:rsidR="00BE665F" w:rsidRPr="00785E35">
        <w:rPr>
          <w:szCs w:val="20"/>
          <w:lang w:val="en-GB"/>
        </w:rPr>
        <w:t>,</w:t>
      </w:r>
      <w:r w:rsidR="00BE665F">
        <w:rPr>
          <w:szCs w:val="20"/>
          <w:lang w:val="en-GB"/>
        </w:rPr>
        <w:t xml:space="preserve"> </w:t>
      </w:r>
      <w:r w:rsidR="00D1181C" w:rsidRPr="00D1181C">
        <w:rPr>
          <w:lang w:eastAsia="x-none"/>
        </w:rPr>
        <w:t>R1-2309048</w:t>
      </w:r>
      <w:r>
        <w:rPr>
          <w:szCs w:val="20"/>
          <w:lang w:val="en-GB"/>
        </w:rPr>
        <w:t>,</w:t>
      </w:r>
      <w:r w:rsidRPr="00785E35">
        <w:rPr>
          <w:szCs w:val="20"/>
          <w:lang w:val="en-GB"/>
        </w:rPr>
        <w:t xml:space="preserve"> </w:t>
      </w:r>
      <w:r w:rsidR="00BE665F" w:rsidRPr="00785E35">
        <w:rPr>
          <w:szCs w:val="20"/>
          <w:lang w:val="en-GB"/>
        </w:rPr>
        <w:t>“</w:t>
      </w:r>
      <w:r w:rsidR="00D1181C">
        <w:rPr>
          <w:lang w:eastAsia="x-none"/>
        </w:rPr>
        <w:t>Draft Rel-16 CR on PUSCH selection rule for UCI multiplexing</w:t>
      </w:r>
      <w:r w:rsidR="00BE665F" w:rsidRPr="00785E35">
        <w:rPr>
          <w:szCs w:val="20"/>
          <w:lang w:val="en-GB"/>
        </w:rPr>
        <w:t xml:space="preserve">”, </w:t>
      </w:r>
      <w:r w:rsidR="00D1181C">
        <w:rPr>
          <w:lang w:eastAsia="x-none"/>
        </w:rPr>
        <w:t>vivo</w:t>
      </w:r>
      <w:r w:rsidR="00BE665F" w:rsidRPr="00785E35">
        <w:rPr>
          <w:szCs w:val="20"/>
          <w:lang w:val="en-GB"/>
        </w:rPr>
        <w:t xml:space="preserve">, </w:t>
      </w:r>
      <w:r w:rsidRPr="000A011F">
        <w:rPr>
          <w:szCs w:val="20"/>
          <w:lang w:val="en-GB"/>
        </w:rPr>
        <w:t>Xiamen, China, October 9th – October 13th, 2023</w:t>
      </w:r>
      <w:r w:rsidR="00BE665F" w:rsidRPr="00785E35">
        <w:rPr>
          <w:szCs w:val="20"/>
          <w:lang w:val="en-GB"/>
        </w:rPr>
        <w:t>.</w:t>
      </w:r>
      <w:bookmarkEnd w:id="24"/>
    </w:p>
    <w:bookmarkEnd w:id="25"/>
    <w:p w14:paraId="763772F3" w14:textId="77777777" w:rsidR="00BE665F" w:rsidRDefault="00BE665F" w:rsidP="003A53CB">
      <w:pPr>
        <w:rPr>
          <w:rFonts w:ascii="Calibri" w:hAnsi="Calibri" w:cs="Calibri"/>
          <w:sz w:val="22"/>
          <w:szCs w:val="22"/>
          <w:lang w:eastAsia="zh-CN"/>
        </w:rPr>
      </w:pPr>
    </w:p>
    <w:p w14:paraId="72084D31" w14:textId="77777777" w:rsidR="008A6111" w:rsidRPr="00596B0F" w:rsidRDefault="008A6111" w:rsidP="00596B0F">
      <w:pPr>
        <w:rPr>
          <w:rFonts w:cs="Times"/>
          <w:b/>
          <w:bCs/>
        </w:rPr>
      </w:pPr>
    </w:p>
    <w:sectPr w:rsidR="008A6111" w:rsidRPr="00596B0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1D25B" w14:textId="77777777" w:rsidR="00714CD6" w:rsidRDefault="00714CD6">
      <w:r>
        <w:separator/>
      </w:r>
    </w:p>
  </w:endnote>
  <w:endnote w:type="continuationSeparator" w:id="0">
    <w:p w14:paraId="2A1EB9C2" w14:textId="77777777" w:rsidR="00714CD6" w:rsidRDefault="00714CD6">
      <w:r>
        <w:continuationSeparator/>
      </w:r>
    </w:p>
  </w:endnote>
  <w:endnote w:type="continuationNotice" w:id="1">
    <w:p w14:paraId="782A27F3" w14:textId="77777777" w:rsidR="00714CD6" w:rsidRDefault="00714C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FE20" w14:textId="77777777" w:rsidR="00714CD6" w:rsidRDefault="00714CD6">
      <w:r>
        <w:separator/>
      </w:r>
    </w:p>
  </w:footnote>
  <w:footnote w:type="continuationSeparator" w:id="0">
    <w:p w14:paraId="6F48F148" w14:textId="77777777" w:rsidR="00714CD6" w:rsidRDefault="00714CD6">
      <w:r>
        <w:continuationSeparator/>
      </w:r>
    </w:p>
  </w:footnote>
  <w:footnote w:type="continuationNotice" w:id="1">
    <w:p w14:paraId="03D35769" w14:textId="77777777" w:rsidR="00714CD6" w:rsidRDefault="00714C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9E052C"/>
    <w:multiLevelType w:val="hybridMultilevel"/>
    <w:tmpl w:val="0B46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F54240"/>
    <w:multiLevelType w:val="hybridMultilevel"/>
    <w:tmpl w:val="BE66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A90FA3"/>
    <w:multiLevelType w:val="hybridMultilevel"/>
    <w:tmpl w:val="11C65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681939"/>
    <w:multiLevelType w:val="hybridMultilevel"/>
    <w:tmpl w:val="92DA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num w:numId="1" w16cid:durableId="368066353">
    <w:abstractNumId w:val="5"/>
  </w:num>
  <w:num w:numId="2" w16cid:durableId="1756826631">
    <w:abstractNumId w:val="2"/>
  </w:num>
  <w:num w:numId="3" w16cid:durableId="434789786">
    <w:abstractNumId w:val="6"/>
  </w:num>
  <w:num w:numId="4" w16cid:durableId="342827619">
    <w:abstractNumId w:val="11"/>
  </w:num>
  <w:num w:numId="5" w16cid:durableId="492373985">
    <w:abstractNumId w:val="10"/>
  </w:num>
  <w:num w:numId="6" w16cid:durableId="1627541004">
    <w:abstractNumId w:val="14"/>
  </w:num>
  <w:num w:numId="7" w16cid:durableId="1114985579">
    <w:abstractNumId w:val="9"/>
  </w:num>
  <w:num w:numId="8" w16cid:durableId="2054647159">
    <w:abstractNumId w:val="12"/>
  </w:num>
  <w:num w:numId="9" w16cid:durableId="1192691525">
    <w:abstractNumId w:val="8"/>
  </w:num>
  <w:num w:numId="10" w16cid:durableId="1626934309">
    <w:abstractNumId w:val="4"/>
  </w:num>
  <w:num w:numId="11" w16cid:durableId="22370504">
    <w:abstractNumId w:val="0"/>
  </w:num>
  <w:num w:numId="12" w16cid:durableId="249697257">
    <w:abstractNumId w:val="3"/>
  </w:num>
  <w:num w:numId="13" w16cid:durableId="109858789">
    <w:abstractNumId w:val="16"/>
  </w:num>
  <w:num w:numId="14" w16cid:durableId="1910000228">
    <w:abstractNumId w:val="13"/>
  </w:num>
  <w:num w:numId="15" w16cid:durableId="909004124">
    <w:abstractNumId w:val="1"/>
  </w:num>
  <w:num w:numId="16" w16cid:durableId="1578321982">
    <w:abstractNumId w:val="7"/>
  </w:num>
  <w:num w:numId="17" w16cid:durableId="70591103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CC7"/>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53"/>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678"/>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3E37"/>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99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3CB"/>
    <w:pPr>
      <w:overflowPunct w:val="0"/>
      <w:autoSpaceDE w:val="0"/>
      <w:autoSpaceDN w:val="0"/>
      <w:spacing w:after="180"/>
    </w:pPr>
    <w:rPr>
      <w:rFonts w:ascii="Times New Roman" w:eastAsiaTheme="minorEastAsia"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adjustRightInd w:val="0"/>
      <w:spacing w:after="0"/>
      <w:textAlignment w:val="baseline"/>
    </w:pPr>
    <w:rPr>
      <w:rFonts w:eastAsia="SimSun"/>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adjustRightInd w:val="0"/>
      <w:spacing w:after="0"/>
      <w:ind w:left="454" w:hanging="454"/>
      <w:textAlignment w:val="baseline"/>
    </w:pPr>
    <w:rPr>
      <w:rFonts w:eastAsia="SimSun"/>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adjustRightInd w:val="0"/>
      <w:ind w:left="1135" w:hanging="851"/>
      <w:textAlignment w:val="baseline"/>
    </w:pPr>
    <w:rPr>
      <w:rFonts w:eastAsia="SimSun"/>
    </w:rPr>
  </w:style>
  <w:style w:type="paragraph" w:styleId="TOC9">
    <w:name w:val="toc 9"/>
    <w:basedOn w:val="TOC8"/>
    <w:semiHidden/>
    <w:rsid w:val="00A63872"/>
    <w:pPr>
      <w:ind w:left="1418" w:hanging="1418"/>
    </w:pPr>
  </w:style>
  <w:style w:type="paragraph" w:customStyle="1" w:styleId="EX">
    <w:name w:val="EX"/>
    <w:basedOn w:val="Normal"/>
    <w:rsid w:val="00A63872"/>
    <w:pPr>
      <w:keepLines/>
      <w:adjustRightInd w:val="0"/>
      <w:ind w:left="1702" w:hanging="1418"/>
      <w:textAlignment w:val="baseline"/>
    </w:pPr>
    <w:rPr>
      <w:rFonts w:eastAsia="SimSun"/>
    </w:rPr>
  </w:style>
  <w:style w:type="paragraph" w:customStyle="1" w:styleId="FP">
    <w:name w:val="FP"/>
    <w:basedOn w:val="Normal"/>
    <w:rsid w:val="00A63872"/>
    <w:pPr>
      <w:adjustRightInd w:val="0"/>
      <w:spacing w:after="0"/>
      <w:textAlignment w:val="baseline"/>
    </w:pPr>
    <w:rPr>
      <w:rFonts w:eastAsia="SimSun"/>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adjustRightInd w:val="0"/>
      <w:textAlignment w:val="baseline"/>
    </w:pPr>
    <w:rPr>
      <w:rFonts w:eastAsia="SimSun"/>
      <w:noProof/>
    </w:rPr>
  </w:style>
  <w:style w:type="paragraph" w:customStyle="1" w:styleId="TH">
    <w:name w:val="TH"/>
    <w:basedOn w:val="Normal"/>
    <w:link w:val="THChar"/>
    <w:qFormat/>
    <w:rsid w:val="00A63872"/>
    <w:pPr>
      <w:keepNext/>
      <w:keepLines/>
      <w:adjustRightInd w:val="0"/>
      <w:spacing w:before="60"/>
      <w:jc w:val="center"/>
      <w:textAlignment w:val="baseline"/>
    </w:pPr>
    <w:rPr>
      <w:rFonts w:ascii="Arial" w:eastAsia="SimSun"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adjustRightInd w:val="0"/>
      <w:spacing w:after="0"/>
      <w:textAlignment w:val="baseline"/>
    </w:pPr>
    <w:rPr>
      <w:rFonts w:ascii="Arial" w:eastAsia="SimSun"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adjustRightInd w:val="0"/>
      <w:ind w:left="568" w:hanging="284"/>
      <w:textAlignment w:val="baseline"/>
    </w:pPr>
    <w:rPr>
      <w:rFonts w:eastAsia="SimSun"/>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adjustRightInd w:val="0"/>
      <w:textAlignment w:val="baseline"/>
    </w:pPr>
    <w:rPr>
      <w:rFonts w:eastAsia="SimSun"/>
      <w:i/>
    </w:rPr>
  </w:style>
  <w:style w:type="paragraph" w:styleId="DocumentMap">
    <w:name w:val="Document Map"/>
    <w:basedOn w:val="Normal"/>
    <w:semiHidden/>
    <w:pPr>
      <w:shd w:val="clear" w:color="auto" w:fill="000080"/>
      <w:adjustRightInd w:val="0"/>
      <w:textAlignment w:val="baseline"/>
    </w:pPr>
    <w:rPr>
      <w:rFonts w:ascii="Tahoma" w:eastAsia="SimSun" w:hAnsi="Tahoma"/>
    </w:rPr>
  </w:style>
  <w:style w:type="paragraph" w:customStyle="1" w:styleId="Bulletedo1">
    <w:name w:val="Bulleted o 1"/>
    <w:basedOn w:val="Normal"/>
    <w:pPr>
      <w:numPr>
        <w:numId w:val="1"/>
      </w:numPr>
      <w:adjustRightInd w:val="0"/>
      <w:textAlignment w:val="baseline"/>
    </w:pPr>
    <w:rPr>
      <w:rFonts w:eastAsia="SimSun"/>
    </w:rPr>
  </w:style>
  <w:style w:type="paragraph" w:customStyle="1" w:styleId="text">
    <w:name w:val="text"/>
    <w:basedOn w:val="Normal"/>
    <w:pPr>
      <w:adjustRightInd w:val="0"/>
      <w:spacing w:after="240"/>
      <w:jc w:val="both"/>
      <w:textAlignment w:val="baseline"/>
    </w:pPr>
    <w:rPr>
      <w:rFonts w:eastAsia="SimSun"/>
      <w:sz w:val="24"/>
      <w:lang w:eastAsia="zh-CN"/>
    </w:rPr>
  </w:style>
  <w:style w:type="paragraph" w:customStyle="1" w:styleId="Equation">
    <w:name w:val="Equation"/>
    <w:basedOn w:val="Normal"/>
    <w:next w:val="Normal"/>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pPr>
      <w:adjustRightInd w:val="0"/>
      <w:spacing w:after="220"/>
      <w:textAlignment w:val="baseline"/>
    </w:pPr>
    <w:rPr>
      <w:rFonts w:ascii="Arial" w:eastAsia="SimSun" w:hAnsi="Arial"/>
      <w:sz w:val="22"/>
    </w:rPr>
  </w:style>
  <w:style w:type="paragraph" w:customStyle="1" w:styleId="11BodyText">
    <w:name w:val="11 BodyText"/>
    <w:basedOn w:val="Normal"/>
    <w:pPr>
      <w:adjustRightInd w:val="0"/>
      <w:spacing w:after="220"/>
      <w:ind w:left="1298"/>
      <w:textAlignment w:val="baseline"/>
    </w:pPr>
    <w:rPr>
      <w:rFonts w:ascii="Arial" w:eastAsia="SimSun"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adjustRightInd w:val="0"/>
      <w:spacing w:before="120" w:after="120"/>
      <w:textAlignment w:val="baseline"/>
    </w:pPr>
    <w:rPr>
      <w:rFonts w:eastAsia="SimSun"/>
      <w:b/>
      <w:bCs/>
    </w:rPr>
  </w:style>
  <w:style w:type="paragraph" w:customStyle="1" w:styleId="bodyCharCharChar">
    <w:name w:val="body Char Char Char"/>
    <w:basedOn w:val="Normal"/>
    <w:pPr>
      <w:tabs>
        <w:tab w:val="left" w:pos="2160"/>
      </w:tabs>
      <w:adjustRightInd w:val="0"/>
      <w:spacing w:before="120" w:after="120" w:line="280" w:lineRule="atLeast"/>
      <w:jc w:val="both"/>
      <w:textAlignment w:val="baseline"/>
    </w:pPr>
    <w:rPr>
      <w:rFonts w:ascii="New York" w:eastAsia="SimSun" w:hAnsi="New York"/>
      <w:sz w:val="24"/>
    </w:rPr>
  </w:style>
  <w:style w:type="paragraph" w:styleId="BodyText">
    <w:name w:val="Body Text"/>
    <w:aliases w:val="bt"/>
    <w:basedOn w:val="Normal"/>
    <w:link w:val="BodyTextChar"/>
    <w:pPr>
      <w:adjustRightInd w:val="0"/>
      <w:spacing w:after="120"/>
      <w:jc w:val="both"/>
      <w:textAlignment w:val="baseline"/>
    </w:pPr>
    <w:rPr>
      <w:rFonts w:ascii="Times" w:eastAsia="SimSun" w:hAnsi="Times"/>
      <w:szCs w:val="24"/>
    </w:rPr>
  </w:style>
  <w:style w:type="paragraph" w:styleId="BodyText2">
    <w:name w:val="Body Text 2"/>
    <w:basedOn w:val="Normal"/>
    <w:pPr>
      <w:tabs>
        <w:tab w:val="left" w:pos="1985"/>
      </w:tabs>
      <w:adjustRightInd w:val="0"/>
      <w:spacing w:after="0"/>
      <w:jc w:val="both"/>
      <w:textAlignment w:val="baseline"/>
    </w:pPr>
    <w:rPr>
      <w:rFonts w:ascii="Arial" w:eastAsia="SimSun"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adjustRightInd w:val="0"/>
      <w:spacing w:before="120" w:after="120" w:line="280" w:lineRule="atLeast"/>
      <w:jc w:val="both"/>
      <w:textAlignment w:val="baseline"/>
    </w:pPr>
    <w:rPr>
      <w:rFonts w:ascii="New York" w:eastAsia="SimSun"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adjustRightInd w:val="0"/>
      <w:textAlignment w:val="baseline"/>
    </w:pPr>
    <w:rPr>
      <w:rFonts w:eastAsia="SimSun"/>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adjustRightInd w:val="0"/>
      <w:textAlignment w:val="baseline"/>
    </w:pPr>
    <w:rPr>
      <w:rFonts w:ascii="Tahoma" w:eastAsia="SimSun"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adjustRightInd w:val="0"/>
      <w:spacing w:after="60"/>
      <w:jc w:val="center"/>
      <w:textAlignment w:val="baseline"/>
      <w:outlineLvl w:val="1"/>
    </w:pPr>
    <w:rPr>
      <w:rFonts w:ascii="Cambria" w:eastAsia="SimSu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spacing w:before="100" w:beforeAutospacing="1" w:after="100" w:afterAutospacing="1"/>
    </w:pPr>
    <w:rPr>
      <w:rFonts w:eastAsia="SimSun"/>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snapToGrid w:val="0"/>
      <w:spacing w:after="60"/>
      <w:jc w:val="both"/>
    </w:pPr>
    <w:rPr>
      <w:rFonts w:eastAsia="SimSun"/>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spacing w:after="0"/>
    </w:pPr>
    <w:rPr>
      <w:rFonts w:ascii="SimSun" w:eastAsia="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89566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49507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5G%20Ran1%20meetings\Docs\R1-2309048.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5G%20Ran1%20meetings\Docs\R1-230904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HR33RHYHUWRF-507899316-22521</_dlc_DocId>
    <_dlc_DocIdUrl xmlns="ca125759-a0e7-4469-93e0-e34bba23bda5">
      <Url>https://qualcomm.sharepoint.com/teams/pentari/_layouts/15/DocIdRedir.aspx?ID=HR33RHYHUWRF-507899316-22521</Url>
      <Description>HR33RHYHUWRF-507899316-22521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E4953B3D-BFF6-490B-BB0B-AE51A0E3F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documentManagement/types"/>
    <ds:schemaRef ds:uri="ca125759-a0e7-4469-93e0-e34bba23bda5"/>
    <ds:schemaRef ds:uri="http://purl.org/dc/elements/1.1/"/>
    <ds:schemaRef ds:uri="943a219e-757a-436b-9054-f071e3c84dcc"/>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508</Words>
  <Characters>2898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2023-11-03T18:30:00Z</dcterms:created>
  <dcterms:modified xsi:type="dcterms:W3CDTF">2023-11-03T18:30:00Z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2aa5e573-00fe-4b91-be0d-37263b94aab9</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